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CC08" w14:textId="77777777" w:rsidR="00F1461D" w:rsidRDefault="00C234A3">
      <w:pPr>
        <w:rPr>
          <w:rFonts w:ascii="Calibri" w:eastAsia="Calibri" w:hAnsi="Calibri" w:cs="Calibri"/>
          <w:i/>
          <w:color w:val="3366FF"/>
          <w:sz w:val="20"/>
          <w:szCs w:val="20"/>
        </w:rPr>
      </w:pPr>
      <w:r>
        <w:rPr>
          <w:rFonts w:ascii="Calibri" w:eastAsia="Calibri" w:hAnsi="Calibri" w:cs="Calibri"/>
          <w:i/>
          <w:color w:val="3366FF"/>
          <w:sz w:val="20"/>
          <w:szCs w:val="20"/>
        </w:rPr>
        <w:t>Include 3 bullets (&lt; 30 words total) per slide – the most important messages associated with the particular slide</w:t>
      </w:r>
    </w:p>
    <w:p w14:paraId="53B10AA0" w14:textId="77777777" w:rsidR="00F1461D" w:rsidRDefault="00F1461D">
      <w:pPr>
        <w:rPr>
          <w:rFonts w:ascii="Calibri" w:eastAsia="Calibri" w:hAnsi="Calibri" w:cs="Calibri"/>
        </w:rPr>
      </w:pPr>
    </w:p>
    <w:p w14:paraId="49F16D0C" w14:textId="1B6ED501" w:rsidR="00F1461D" w:rsidRDefault="00C23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name:</w:t>
      </w:r>
      <w:r w:rsidR="008574A1">
        <w:rPr>
          <w:rFonts w:ascii="Calibri" w:eastAsia="Calibri" w:hAnsi="Calibri" w:cs="Calibri"/>
        </w:rPr>
        <w:t xml:space="preserve"> EPP Light Dosimeter</w:t>
      </w:r>
    </w:p>
    <w:p w14:paraId="4DF145CB" w14:textId="12F337F4" w:rsidR="00F1461D" w:rsidRDefault="00C23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updated:</w:t>
      </w:r>
      <w:r w:rsidR="008574A1">
        <w:rPr>
          <w:rFonts w:ascii="Calibri" w:eastAsia="Calibri" w:hAnsi="Calibri" w:cs="Calibri"/>
        </w:rPr>
        <w:t xml:space="preserve"> </w:t>
      </w:r>
      <w:r w:rsidR="008A183F">
        <w:rPr>
          <w:rFonts w:ascii="Calibri" w:eastAsia="Calibri" w:hAnsi="Calibri" w:cs="Calibri"/>
        </w:rPr>
        <w:t>12</w:t>
      </w:r>
      <w:r w:rsidR="008574A1">
        <w:rPr>
          <w:rFonts w:ascii="Calibri" w:eastAsia="Calibri" w:hAnsi="Calibri" w:cs="Calibri"/>
        </w:rPr>
        <w:t>/1</w:t>
      </w:r>
      <w:bookmarkStart w:id="0" w:name="_GoBack"/>
      <w:bookmarkEnd w:id="0"/>
      <w:r w:rsidR="008574A1">
        <w:rPr>
          <w:rFonts w:ascii="Calibri" w:eastAsia="Calibri" w:hAnsi="Calibri" w:cs="Calibri"/>
        </w:rPr>
        <w:t>/2019</w:t>
      </w:r>
    </w:p>
    <w:p w14:paraId="3C0F4DD2" w14:textId="77777777" w:rsidR="00F1461D" w:rsidRDefault="00F1461D">
      <w:pPr>
        <w:rPr>
          <w:rFonts w:ascii="Calibri" w:eastAsia="Calibri" w:hAnsi="Calibri" w:cs="Calibri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1"/>
        <w:gridCol w:w="9487"/>
      </w:tblGrid>
      <w:tr w:rsidR="00F1461D" w14:paraId="091299A8" w14:textId="77777777">
        <w:tc>
          <w:tcPr>
            <w:tcW w:w="1421" w:type="dxa"/>
          </w:tcPr>
          <w:p w14:paraId="3229394C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S1: Title</w:t>
            </w:r>
          </w:p>
          <w:p w14:paraId="7287E170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&amp; Elevator Pitch/Headline</w:t>
            </w:r>
          </w:p>
        </w:tc>
        <w:tc>
          <w:tcPr>
            <w:tcW w:w="9487" w:type="dxa"/>
          </w:tcPr>
          <w:p w14:paraId="178CB2EA" w14:textId="77777777" w:rsidR="002F2FD4" w:rsidRPr="002F2FD4" w:rsidRDefault="002F2FD4" w:rsidP="00F3030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F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Title: Smartphone-based digital devices for quantitative disease monitoring in erythropoietic protoporphyria</w:t>
            </w:r>
          </w:p>
          <w:p w14:paraId="07302564" w14:textId="6873981F" w:rsidR="00F1461D" w:rsidRPr="00974980" w:rsidRDefault="002F2FD4" w:rsidP="00F30300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F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Headline: </w:t>
            </w:r>
            <w:r w:rsidR="00974980" w:rsidRPr="009749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you’re like most people, you enjoy the sun, and you miss it if it’s gone for days or months at a time. But did you know that some people’s skin can’t tolerate sunlight?</w:t>
            </w:r>
          </w:p>
          <w:p w14:paraId="3164F4DD" w14:textId="280C2722" w:rsidR="008574A1" w:rsidRPr="002F2FD4" w:rsidRDefault="008574A1" w:rsidP="00F3030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 quality of life and bring new therapies to patients</w:t>
            </w:r>
          </w:p>
        </w:tc>
      </w:tr>
      <w:tr w:rsidR="00F1461D" w14:paraId="6C718245" w14:textId="77777777">
        <w:tc>
          <w:tcPr>
            <w:tcW w:w="1421" w:type="dxa"/>
          </w:tcPr>
          <w:p w14:paraId="299D6D91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S2: The problem and who has it</w:t>
            </w:r>
          </w:p>
        </w:tc>
        <w:tc>
          <w:tcPr>
            <w:tcW w:w="9487" w:type="dxa"/>
          </w:tcPr>
          <w:p w14:paraId="3C299BD9" w14:textId="77777777" w:rsidR="00F30300" w:rsidRDefault="00F30300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EPP 1:100,000, but multiple forms of photosensitivity. No biomarkers.</w:t>
            </w:r>
          </w:p>
          <w:p w14:paraId="4133CC37" w14:textId="442E3810" w:rsidR="002F2FD4" w:rsidRPr="00F30300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F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Prolonged, untreatable pain</w:t>
            </w:r>
            <w:r w:rsid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d</w:t>
            </w:r>
            <w:r w:rsidRP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ecreased quality of life</w:t>
            </w:r>
          </w:p>
          <w:p w14:paraId="7B2E3BE9" w14:textId="77777777" w:rsidR="002F2FD4" w:rsidRPr="002F2FD4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F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Difficulty predicting and preventing symptoms</w:t>
            </w:r>
          </w:p>
          <w:p w14:paraId="56CF5EB7" w14:textId="21679035" w:rsidR="00F30300" w:rsidRPr="00F30300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F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precise endpoints for clinical trials</w:t>
            </w:r>
          </w:p>
        </w:tc>
      </w:tr>
      <w:tr w:rsidR="00F1461D" w14:paraId="6EE6E0BF" w14:textId="77777777">
        <w:tc>
          <w:tcPr>
            <w:tcW w:w="1421" w:type="dxa"/>
          </w:tcPr>
          <w:p w14:paraId="599F9191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S3: The solution </w:t>
            </w:r>
          </w:p>
        </w:tc>
        <w:tc>
          <w:tcPr>
            <w:tcW w:w="9487" w:type="dxa"/>
          </w:tcPr>
          <w:p w14:paraId="59A0554B" w14:textId="10B18131" w:rsidR="00F1461D" w:rsidRDefault="00F30300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biomarker</w:t>
            </w:r>
          </w:p>
          <w:p w14:paraId="76F5147B" w14:textId="31BAFD97" w:rsidR="00F1461D" w:rsidRPr="002F2FD4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 the exposure, the symptoms, and the biochemical response with a light dosimeter, symptom survey, and a fluorescence spectrometer, respectively.</w:t>
            </w:r>
          </w:p>
          <w:p w14:paraId="5FFC58C8" w14:textId="724EAA7A" w:rsidR="00F1461D" w:rsidRPr="002F2FD4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improve quality of life and provide quantitative endpoints for clinical trials</w:t>
            </w:r>
          </w:p>
        </w:tc>
      </w:tr>
      <w:tr w:rsidR="00F1461D" w14:paraId="3E95A3C3" w14:textId="77777777">
        <w:tc>
          <w:tcPr>
            <w:tcW w:w="1421" w:type="dxa"/>
          </w:tcPr>
          <w:p w14:paraId="2A48F567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S4: Product (how it addresses the problem)</w:t>
            </w:r>
          </w:p>
        </w:tc>
        <w:tc>
          <w:tcPr>
            <w:tcW w:w="9487" w:type="dxa"/>
          </w:tcPr>
          <w:p w14:paraId="1C78FFDE" w14:textId="231D1507" w:rsidR="00F1461D" w:rsidRPr="002F2FD4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light dosimeter</w:t>
            </w:r>
            <w:r w:rsidR="00F3030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SunSense</w:t>
            </w:r>
            <w:proofErr w:type="spellEnd"/>
            <w:r w:rsidR="00F30300">
              <w:rPr>
                <w:rFonts w:ascii="Calibri" w:eastAsia="Calibri" w:hAnsi="Calibri" w:cs="Calibri"/>
                <w:sz w:val="20"/>
                <w:szCs w:val="20"/>
              </w:rPr>
              <w:t>, UV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light exposure</w:t>
            </w:r>
          </w:p>
          <w:p w14:paraId="68FCA011" w14:textId="729BBCD0" w:rsidR="00F1461D" w:rsidRPr="002F2FD4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fluorescence spectrometer</w:t>
            </w:r>
            <w:r w:rsidR="00F3030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Labby</w:t>
            </w:r>
            <w:proofErr w:type="spellEnd"/>
            <w:r w:rsidR="00F3030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30300">
              <w:rPr>
                <w:rFonts w:ascii="Calibri" w:eastAsia="Calibri" w:hAnsi="Calibri" w:cs="Calibri"/>
                <w:sz w:val="20"/>
                <w:szCs w:val="20"/>
              </w:rPr>
              <w:t xml:space="preserve">skin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fluorescence</w:t>
            </w:r>
          </w:p>
        </w:tc>
      </w:tr>
      <w:tr w:rsidR="00F1461D" w14:paraId="62D8C5D8" w14:textId="77777777">
        <w:tc>
          <w:tcPr>
            <w:tcW w:w="1421" w:type="dxa"/>
          </w:tcPr>
          <w:p w14:paraId="0DB845C9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S5: Technology</w:t>
            </w:r>
          </w:p>
        </w:tc>
        <w:tc>
          <w:tcPr>
            <w:tcW w:w="9487" w:type="dxa"/>
          </w:tcPr>
          <w:p w14:paraId="7159F09B" w14:textId="09F500B9" w:rsidR="00F1461D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visible light sensor</w:t>
            </w:r>
            <w:r w:rsidR="00F30300">
              <w:rPr>
                <w:rFonts w:ascii="Calibri" w:eastAsia="Calibri" w:hAnsi="Calibri" w:cs="Calibri"/>
                <w:sz w:val="20"/>
                <w:szCs w:val="20"/>
              </w:rPr>
              <w:t>: measure visible light not just UV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84986F" w14:textId="670A64CD" w:rsidR="00F1461D" w:rsidRPr="00F30300" w:rsidRDefault="002F2FD4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cutaneous spectrofluorometer</w:t>
            </w:r>
            <w:r w:rsidR="00F30300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8574A1">
              <w:rPr>
                <w:rFonts w:ascii="Calibri" w:eastAsia="Calibri" w:hAnsi="Calibri" w:cs="Calibri"/>
                <w:sz w:val="20"/>
                <w:szCs w:val="20"/>
              </w:rPr>
              <w:t>excitation and emission properties are specific for protoporphyrin.</w:t>
            </w:r>
          </w:p>
        </w:tc>
      </w:tr>
      <w:tr w:rsidR="00F1461D" w14:paraId="53FFFC07" w14:textId="77777777">
        <w:tc>
          <w:tcPr>
            <w:tcW w:w="1421" w:type="dxa"/>
          </w:tcPr>
          <w:p w14:paraId="312AE27C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S6: </w:t>
            </w:r>
          </w:p>
          <w:p w14:paraId="553F81EB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Competing approaches</w:t>
            </w:r>
          </w:p>
        </w:tc>
        <w:tc>
          <w:tcPr>
            <w:tcW w:w="9487" w:type="dxa"/>
          </w:tcPr>
          <w:p w14:paraId="28AB1050" w14:textId="145584C5" w:rsidR="008574A1" w:rsidRPr="00F30300" w:rsidRDefault="008574A1" w:rsidP="00F3030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 clinical trials in EPP</w:t>
            </w:r>
            <w:r w:rsid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light exposure </w:t>
            </w:r>
            <w:r w:rsidR="00F30300" w:rsidRP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diaries</w:t>
            </w:r>
            <w:r w:rsidRP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36B83618" w14:textId="7A593D41" w:rsidR="00F1461D" w:rsidRPr="00F30300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primary end point of the last trial completed in 2011 was the cumulative number of hours in direct sunlight between 10am and 6pm without pain over a period of 6 months.</w:t>
            </w:r>
          </w:p>
        </w:tc>
      </w:tr>
      <w:tr w:rsidR="00F1461D" w14:paraId="215F359D" w14:textId="77777777">
        <w:tc>
          <w:tcPr>
            <w:tcW w:w="1421" w:type="dxa"/>
          </w:tcPr>
          <w:p w14:paraId="1E74730F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S7:</w:t>
            </w:r>
          </w:p>
          <w:p w14:paraId="746ECA1B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Traction</w:t>
            </w:r>
          </w:p>
        </w:tc>
        <w:tc>
          <w:tcPr>
            <w:tcW w:w="9487" w:type="dxa"/>
          </w:tcPr>
          <w:p w14:paraId="4B3BB0FB" w14:textId="3E7F2C77" w:rsidR="008574A1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Spark Grant, the </w:t>
            </w: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Porphyrias</w:t>
            </w:r>
            <w:proofErr w:type="spell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Consortium </w:t>
            </w:r>
            <w:r w:rsid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grant, HTL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A957CF9" w14:textId="64786A91" w:rsidR="008574A1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SunSense</w:t>
            </w:r>
            <w:proofErr w:type="spell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Labby</w:t>
            </w:r>
            <w:proofErr w:type="spell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1BEAFFAC" w14:textId="6FA8E3FB" w:rsidR="00F1461D" w:rsidRPr="00F30300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Porphyia</w:t>
            </w:r>
            <w:proofErr w:type="spell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Foundation </w:t>
            </w:r>
            <w:r w:rsid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trainee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and </w:t>
            </w:r>
            <w:r w:rsid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starting a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satellite site</w:t>
            </w:r>
            <w:r w:rsidR="00F303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the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Porphyrias</w:t>
            </w:r>
            <w:proofErr w:type="spell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Consortium.</w:t>
            </w:r>
          </w:p>
        </w:tc>
      </w:tr>
      <w:tr w:rsidR="00F1461D" w14:paraId="48D2B349" w14:textId="77777777">
        <w:tc>
          <w:tcPr>
            <w:tcW w:w="1421" w:type="dxa"/>
          </w:tcPr>
          <w:p w14:paraId="5C98907D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S8:</w:t>
            </w:r>
          </w:p>
          <w:p w14:paraId="63EBFE0C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</w:p>
        </w:tc>
        <w:tc>
          <w:tcPr>
            <w:tcW w:w="9487" w:type="dxa"/>
          </w:tcPr>
          <w:p w14:paraId="7B0AF59F" w14:textId="567C63D7" w:rsidR="008574A1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My supporting mentors at MGH are Irene </w:t>
            </w: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Kochevar</w:t>
            </w:r>
            <w:proofErr w:type="spell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David </w:t>
            </w:r>
            <w:proofErr w:type="spellStart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Christiani</w:t>
            </w:r>
            <w:proofErr w:type="spellEnd"/>
          </w:p>
          <w:p w14:paraId="771DAF15" w14:textId="1F0400D1" w:rsidR="00F1461D" w:rsidRPr="00F30300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have mentorship through the IDEA2 program and the Healthcare Transformation Lab.</w:t>
            </w:r>
          </w:p>
        </w:tc>
      </w:tr>
      <w:tr w:rsidR="00F1461D" w14:paraId="2A52B598" w14:textId="77777777">
        <w:tc>
          <w:tcPr>
            <w:tcW w:w="1421" w:type="dxa"/>
          </w:tcPr>
          <w:p w14:paraId="5634DEB2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S9:</w:t>
            </w:r>
          </w:p>
          <w:p w14:paraId="45503113" w14:textId="77777777" w:rsidR="00F1461D" w:rsidRDefault="00C234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Closing</w:t>
            </w:r>
          </w:p>
        </w:tc>
        <w:tc>
          <w:tcPr>
            <w:tcW w:w="9487" w:type="dxa"/>
          </w:tcPr>
          <w:p w14:paraId="4DE177B3" w14:textId="14975E57" w:rsidR="008574A1" w:rsidRPr="008574A1" w:rsidRDefault="008574A1" w:rsidP="00F303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74A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proofErr w:type="gramStart"/>
            <w:r w:rsidRPr="008574A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goals: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guide</w:t>
            </w:r>
            <w:proofErr w:type="spellEnd"/>
            <w:proofErr w:type="gramEnd"/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patient exposure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quantitative endpoints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 clinical trial data collection</w:t>
            </w:r>
          </w:p>
          <w:p w14:paraId="75A3DC98" w14:textId="5979C911" w:rsidR="00F1461D" w:rsidRPr="00F30300" w:rsidRDefault="008574A1" w:rsidP="008574A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74A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Ways this will help patients: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improve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quality of life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facilitate the approval of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new medications </w:t>
            </w:r>
            <w:r w:rsidRPr="008574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 EPP and other forms of photosensitivity</w:t>
            </w:r>
          </w:p>
        </w:tc>
      </w:tr>
    </w:tbl>
    <w:p w14:paraId="420D6428" w14:textId="77777777" w:rsidR="00F1461D" w:rsidRDefault="00F1461D">
      <w:pPr>
        <w:rPr>
          <w:rFonts w:ascii="Calibri" w:eastAsia="Calibri" w:hAnsi="Calibri" w:cs="Calibri"/>
          <w:sz w:val="20"/>
          <w:szCs w:val="20"/>
        </w:rPr>
      </w:pPr>
    </w:p>
    <w:sectPr w:rsidR="00F146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ABC"/>
    <w:multiLevelType w:val="hybridMultilevel"/>
    <w:tmpl w:val="80A842D6"/>
    <w:lvl w:ilvl="0" w:tplc="6C62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E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0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A3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C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A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E0EF6"/>
    <w:multiLevelType w:val="hybridMultilevel"/>
    <w:tmpl w:val="4E5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68E7"/>
    <w:multiLevelType w:val="multilevel"/>
    <w:tmpl w:val="4216B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816A4"/>
    <w:multiLevelType w:val="hybridMultilevel"/>
    <w:tmpl w:val="9356D8F6"/>
    <w:lvl w:ilvl="0" w:tplc="0D82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0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0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4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A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C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8E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2A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FD2465"/>
    <w:multiLevelType w:val="hybridMultilevel"/>
    <w:tmpl w:val="D23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5A4D"/>
    <w:multiLevelType w:val="hybridMultilevel"/>
    <w:tmpl w:val="112079FE"/>
    <w:lvl w:ilvl="0" w:tplc="AC4C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C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6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A2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E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4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983BD2"/>
    <w:multiLevelType w:val="hybridMultilevel"/>
    <w:tmpl w:val="3DE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1D"/>
    <w:rsid w:val="000B0C0D"/>
    <w:rsid w:val="002F2FD4"/>
    <w:rsid w:val="00783ECC"/>
    <w:rsid w:val="008574A1"/>
    <w:rsid w:val="008A183F"/>
    <w:rsid w:val="00974980"/>
    <w:rsid w:val="00C234A3"/>
    <w:rsid w:val="00F1461D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3298"/>
  <w15:docId w15:val="{529AB91F-EC62-B94B-B4D4-86D00E1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F2F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xfrRWwqIcrR+ZzOUOrUZUDGXg==">AMUW2mW8rY+RFqtQSwHfWiKdylHwrQMyacH2ldjRFZDUSlM/H/pIU3MFn9mPpXi8BgCRXk2dBziWbVZsp+a7nHurPv4IllhToeOfFoXAgLgxMveBRmUlPXfo5TRlbEWMz466KQ3M3utK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Gray</dc:creator>
  <cp:lastModifiedBy>Dickey, Amy K.,M.D.</cp:lastModifiedBy>
  <cp:revision>2</cp:revision>
  <dcterms:created xsi:type="dcterms:W3CDTF">2019-12-03T21:43:00Z</dcterms:created>
  <dcterms:modified xsi:type="dcterms:W3CDTF">2019-12-03T21:43:00Z</dcterms:modified>
</cp:coreProperties>
</file>