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BC5F1" w14:textId="77777777" w:rsidR="00FD5DDA" w:rsidRDefault="00270458">
      <w:pPr>
        <w:rPr>
          <w:rFonts w:ascii="Calibri" w:eastAsia="Calibri" w:hAnsi="Calibri" w:cs="Calibri"/>
          <w:i/>
          <w:color w:val="3366FF"/>
          <w:sz w:val="20"/>
          <w:szCs w:val="20"/>
        </w:rPr>
      </w:pPr>
      <w:r>
        <w:rPr>
          <w:rFonts w:ascii="Calibri" w:eastAsia="Calibri" w:hAnsi="Calibri" w:cs="Calibri"/>
          <w:i/>
          <w:color w:val="3366FF"/>
          <w:sz w:val="20"/>
          <w:szCs w:val="20"/>
        </w:rPr>
        <w:t>Include 3 bullets (&lt; 30 words total) per slide – the most important messages associated with the particular slide</w:t>
      </w:r>
    </w:p>
    <w:p w14:paraId="667BC5F2" w14:textId="77777777" w:rsidR="00FD5DDA" w:rsidRDefault="00FD5DDA">
      <w:pPr>
        <w:rPr>
          <w:rFonts w:ascii="Calibri" w:eastAsia="Calibri" w:hAnsi="Calibri" w:cs="Calibri"/>
        </w:rPr>
      </w:pPr>
    </w:p>
    <w:p w14:paraId="667BC5F3" w14:textId="02A975E2" w:rsidR="00FD5DDA" w:rsidRDefault="002704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Team name:</w:t>
      </w:r>
      <w:r w:rsidR="0087376D">
        <w:rPr>
          <w:rFonts w:ascii="Calibri" w:eastAsia="Calibri" w:hAnsi="Calibri" w:cs="Calibri"/>
        </w:rPr>
        <w:t xml:space="preserve"> HEALD</w:t>
      </w:r>
      <w:r w:rsidR="0087376D">
        <w:rPr>
          <w:rFonts w:ascii="Calibri" w:eastAsia="Calibri" w:hAnsi="Calibri" w:cs="Calibri"/>
        </w:rPr>
        <w:tab/>
      </w:r>
    </w:p>
    <w:p w14:paraId="667BC5F4" w14:textId="33DD5502" w:rsidR="00FD5DDA" w:rsidRDefault="002704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updated:</w:t>
      </w:r>
      <w:r w:rsidR="0087376D">
        <w:rPr>
          <w:rFonts w:ascii="Calibri" w:eastAsia="Calibri" w:hAnsi="Calibri" w:cs="Calibri"/>
        </w:rPr>
        <w:t xml:space="preserve"> 1</w:t>
      </w:r>
      <w:r w:rsidR="00D31B57">
        <w:rPr>
          <w:rFonts w:ascii="Calibri" w:eastAsia="Calibri" w:hAnsi="Calibri" w:cs="Calibri"/>
        </w:rPr>
        <w:t>2/1</w:t>
      </w:r>
      <w:r w:rsidR="0087376D">
        <w:rPr>
          <w:rFonts w:ascii="Calibri" w:eastAsia="Calibri" w:hAnsi="Calibri" w:cs="Calibri"/>
        </w:rPr>
        <w:t xml:space="preserve">/2019 </w:t>
      </w:r>
    </w:p>
    <w:p w14:paraId="667BC5F5" w14:textId="77777777" w:rsidR="00FD5DDA" w:rsidRDefault="00FD5DDA">
      <w:pPr>
        <w:rPr>
          <w:rFonts w:ascii="Calibri" w:eastAsia="Calibri" w:hAnsi="Calibri" w:cs="Calibri"/>
        </w:rPr>
      </w:pPr>
    </w:p>
    <w:tbl>
      <w:tblPr>
        <w:tblStyle w:val="a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1"/>
        <w:gridCol w:w="9487"/>
      </w:tblGrid>
      <w:tr w:rsidR="00FD5DDA" w14:paraId="667BC5FC" w14:textId="77777777">
        <w:tc>
          <w:tcPr>
            <w:tcW w:w="1421" w:type="dxa"/>
          </w:tcPr>
          <w:p w14:paraId="667BC5F6" w14:textId="77777777" w:rsidR="00FD5DDA" w:rsidRDefault="0027045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S1: Title</w:t>
            </w:r>
          </w:p>
          <w:p w14:paraId="667BC5F7" w14:textId="77777777" w:rsidR="00FD5DDA" w:rsidRDefault="0027045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&amp; Elevator Pitch/Headline</w:t>
            </w:r>
          </w:p>
        </w:tc>
        <w:tc>
          <w:tcPr>
            <w:tcW w:w="9487" w:type="dxa"/>
          </w:tcPr>
          <w:p w14:paraId="378BEBDD" w14:textId="5C0AE6AF" w:rsidR="00252353" w:rsidRPr="00AA218A" w:rsidRDefault="00EF5CE4" w:rsidP="00AA218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AA218A">
              <w:rPr>
                <w:rFonts w:ascii="Calibri" w:eastAsia="Calibri" w:hAnsi="Calibri" w:cs="Calibri"/>
                <w:sz w:val="20"/>
                <w:szCs w:val="20"/>
              </w:rPr>
              <w:t>Hepatic Encephalopathy App for Liver Disease (HEALD)</w:t>
            </w:r>
          </w:p>
          <w:p w14:paraId="667BC5FB" w14:textId="15FF903F" w:rsidR="00B81875" w:rsidRPr="00706F8E" w:rsidRDefault="00897964" w:rsidP="00706F8E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 passive monitoring tool to prevent HE-related re-admissions for patients with cirrhosis </w:t>
            </w:r>
          </w:p>
        </w:tc>
      </w:tr>
      <w:tr w:rsidR="00FD5DDA" w14:paraId="667BC602" w14:textId="77777777">
        <w:tc>
          <w:tcPr>
            <w:tcW w:w="1421" w:type="dxa"/>
          </w:tcPr>
          <w:p w14:paraId="667BC5FD" w14:textId="77777777" w:rsidR="00FD5DDA" w:rsidRDefault="0027045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S2: The problem and who has it</w:t>
            </w:r>
          </w:p>
        </w:tc>
        <w:tc>
          <w:tcPr>
            <w:tcW w:w="9487" w:type="dxa"/>
          </w:tcPr>
          <w:p w14:paraId="391618CC" w14:textId="4B403C13" w:rsidR="00897964" w:rsidRDefault="00897964" w:rsidP="009E0D2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HE is neurocognitive decline from liver dysfunction </w:t>
            </w:r>
          </w:p>
          <w:p w14:paraId="340F9D60" w14:textId="249667BA" w:rsidR="00B004FF" w:rsidRPr="009E0D25" w:rsidRDefault="00B004FF" w:rsidP="009E0D2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A21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600K </w:t>
            </w:r>
            <w:r w:rsidR="001011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cirrhosis patients </w:t>
            </w:r>
            <w:r w:rsidRPr="00AA21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 US</w:t>
            </w:r>
            <w:r w:rsidR="009E0D2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; 70% </w:t>
            </w:r>
            <w:r w:rsidRPr="009E0D2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develop hepatic encephalopathy (HE)</w:t>
            </w:r>
          </w:p>
          <w:p w14:paraId="667BC601" w14:textId="5C1B764E" w:rsidR="009E0D25" w:rsidRPr="00897964" w:rsidRDefault="00B004FF" w:rsidP="00897964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A21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&gt;</w:t>
            </w:r>
            <w:r w:rsidR="008979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Pr="00AA21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15K admissions </w:t>
            </w:r>
            <w:r w:rsidR="00E3072B" w:rsidRPr="00AA21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and </w:t>
            </w:r>
            <w:r w:rsidRPr="00AA21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&gt;$7 billion</w:t>
            </w:r>
            <w:r w:rsidR="00E2430A" w:rsidRPr="00AA21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EC58F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healthcare </w:t>
            </w:r>
            <w:r w:rsidR="00E2430A" w:rsidRPr="00AA21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charges</w:t>
            </w:r>
            <w:r w:rsidR="00EE6B35" w:rsidRPr="00AA21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/year</w:t>
            </w:r>
          </w:p>
        </w:tc>
      </w:tr>
      <w:tr w:rsidR="00897964" w14:paraId="1B6F3686" w14:textId="77777777">
        <w:tc>
          <w:tcPr>
            <w:tcW w:w="1421" w:type="dxa"/>
          </w:tcPr>
          <w:p w14:paraId="00232D5F" w14:textId="12C2AA74" w:rsidR="00897964" w:rsidRDefault="0089796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S3: The problem illustrated with example patient</w:t>
            </w:r>
          </w:p>
        </w:tc>
        <w:tc>
          <w:tcPr>
            <w:tcW w:w="9487" w:type="dxa"/>
          </w:tcPr>
          <w:p w14:paraId="5CE83EA6" w14:textId="77777777" w:rsidR="00897964" w:rsidRDefault="00897964" w:rsidP="00451B75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Average HE patient Joe and his journey</w:t>
            </w:r>
          </w:p>
          <w:p w14:paraId="4C01270C" w14:textId="77777777" w:rsidR="00897964" w:rsidRDefault="00897964" w:rsidP="00897964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After hospitalization and discharge with medications, he self-discontinues due to side effects, and presents to clinic too late and gets re-admitted</w:t>
            </w:r>
          </w:p>
          <w:p w14:paraId="6090508E" w14:textId="08CAB52A" w:rsidR="00897964" w:rsidRPr="00897964" w:rsidRDefault="00897964" w:rsidP="00897964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With proper monitoring, re-admission is preventable</w:t>
            </w:r>
          </w:p>
        </w:tc>
      </w:tr>
      <w:tr w:rsidR="00FD5DDA" w14:paraId="667BC608" w14:textId="77777777">
        <w:tc>
          <w:tcPr>
            <w:tcW w:w="1421" w:type="dxa"/>
          </w:tcPr>
          <w:p w14:paraId="667BC603" w14:textId="741AF017" w:rsidR="00FD5DDA" w:rsidRDefault="0027045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897964">
              <w:rPr>
                <w:rFonts w:ascii="Calibri" w:eastAsia="Calibri" w:hAnsi="Calibri" w:cs="Calibri"/>
                <w:sz w:val="20"/>
                <w:szCs w:val="20"/>
              </w:rPr>
              <w:t>4: The unmet clinical need</w:t>
            </w:r>
          </w:p>
        </w:tc>
        <w:tc>
          <w:tcPr>
            <w:tcW w:w="9487" w:type="dxa"/>
          </w:tcPr>
          <w:p w14:paraId="45E4F542" w14:textId="728F2BE8" w:rsidR="00451B75" w:rsidRPr="00451B75" w:rsidRDefault="00451B75" w:rsidP="00451B75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451B75">
              <w:rPr>
                <w:rFonts w:ascii="Calibri" w:eastAsia="Calibri" w:hAnsi="Calibri" w:cs="Calibri"/>
                <w:sz w:val="20"/>
                <w:szCs w:val="20"/>
              </w:rPr>
              <w:t xml:space="preserve">HE is </w:t>
            </w:r>
            <w:r w:rsidR="00897964">
              <w:rPr>
                <w:rFonts w:ascii="Calibri" w:eastAsia="Calibri" w:hAnsi="Calibri" w:cs="Calibri"/>
                <w:sz w:val="20"/>
                <w:szCs w:val="20"/>
              </w:rPr>
              <w:t xml:space="preserve">progressive but </w:t>
            </w:r>
            <w:r w:rsidRPr="00451B75">
              <w:rPr>
                <w:rFonts w:ascii="Calibri" w:eastAsia="Calibri" w:hAnsi="Calibri" w:cs="Calibri"/>
                <w:sz w:val="20"/>
                <w:szCs w:val="20"/>
              </w:rPr>
              <w:t>reversible if caught and treated early</w:t>
            </w:r>
          </w:p>
          <w:p w14:paraId="667BC607" w14:textId="4CF5F246" w:rsidR="00FD5DDA" w:rsidRPr="000121F2" w:rsidRDefault="00897964" w:rsidP="000121F2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There is a need to catch HE flare/progression early and prevent re-admissions </w:t>
            </w:r>
          </w:p>
        </w:tc>
      </w:tr>
      <w:tr w:rsidR="00FD5DDA" w14:paraId="667BC60E" w14:textId="77777777">
        <w:tc>
          <w:tcPr>
            <w:tcW w:w="1421" w:type="dxa"/>
          </w:tcPr>
          <w:p w14:paraId="667BC609" w14:textId="5C502D9A" w:rsidR="00FD5DDA" w:rsidRDefault="0027045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897964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 w:rsidR="0030166E">
              <w:rPr>
                <w:rFonts w:ascii="Calibri" w:eastAsia="Calibri" w:hAnsi="Calibri" w:cs="Calibri"/>
                <w:sz w:val="20"/>
                <w:szCs w:val="20"/>
              </w:rPr>
              <w:t>How the unmet need can be addressed</w:t>
            </w:r>
          </w:p>
        </w:tc>
        <w:tc>
          <w:tcPr>
            <w:tcW w:w="9487" w:type="dxa"/>
          </w:tcPr>
          <w:p w14:paraId="527E533A" w14:textId="2F401EE4" w:rsidR="0030166E" w:rsidRPr="0030166E" w:rsidRDefault="0030166E" w:rsidP="0030166E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Medications are very effective and can improve symptoms but do cause side effects that limit adherence</w:t>
            </w:r>
          </w:p>
          <w:p w14:paraId="488DE7FF" w14:textId="328C7B23" w:rsidR="0030166E" w:rsidRPr="0030166E" w:rsidRDefault="0030166E" w:rsidP="0030166E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0166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Finding the optimal medication dose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and response needs</w:t>
            </w:r>
            <w:r w:rsidRPr="0030166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 good way to closely monitor these patients</w:t>
            </w:r>
          </w:p>
          <w:p w14:paraId="17ECF695" w14:textId="4409D71A" w:rsidR="00DC61B0" w:rsidRPr="00DC61B0" w:rsidRDefault="00252353" w:rsidP="00DC61B0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72EAD">
              <w:rPr>
                <w:rFonts w:ascii="Calibri" w:eastAsia="Calibri" w:hAnsi="Calibri" w:cs="Calibri"/>
                <w:sz w:val="20"/>
                <w:szCs w:val="20"/>
              </w:rPr>
              <w:t xml:space="preserve">App-linked wristwatch tool for patients and their caregivers to </w:t>
            </w:r>
            <w:r w:rsidR="00272EAD" w:rsidRPr="00272EAD">
              <w:rPr>
                <w:rFonts w:ascii="Calibri" w:eastAsia="Calibri" w:hAnsi="Calibri" w:cs="Calibri"/>
                <w:sz w:val="20"/>
                <w:szCs w:val="20"/>
              </w:rPr>
              <w:t xml:space="preserve">passively </w:t>
            </w:r>
            <w:r w:rsidRPr="00272EAD">
              <w:rPr>
                <w:rFonts w:ascii="Calibri" w:eastAsia="Calibri" w:hAnsi="Calibri" w:cs="Calibri"/>
                <w:sz w:val="20"/>
                <w:szCs w:val="20"/>
              </w:rPr>
              <w:t>detect and track progression of early HE</w:t>
            </w:r>
          </w:p>
          <w:p w14:paraId="7075A740" w14:textId="47DB9DEB" w:rsidR="00FD5DDA" w:rsidRDefault="00272EAD" w:rsidP="00DC61B0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72EA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Designed for everyday use at home</w:t>
            </w:r>
            <w:r w:rsidR="00F4323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and requires minimal effort from the patient </w:t>
            </w:r>
          </w:p>
          <w:p w14:paraId="667BC60D" w14:textId="290D24A1" w:rsidR="00DC61B0" w:rsidRPr="00272EAD" w:rsidRDefault="00DC61B0" w:rsidP="00DC61B0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 w:rsidR="00FA53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pp 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lerts patient’s providers </w:t>
            </w:r>
            <w:r w:rsidR="00F4323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with worsening trend to prompt check-in and intervention </w:t>
            </w:r>
          </w:p>
        </w:tc>
      </w:tr>
      <w:tr w:rsidR="0030166E" w14:paraId="599CCC10" w14:textId="77777777">
        <w:tc>
          <w:tcPr>
            <w:tcW w:w="1421" w:type="dxa"/>
          </w:tcPr>
          <w:p w14:paraId="689B30DE" w14:textId="45260D73" w:rsidR="0030166E" w:rsidRDefault="0030166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S6: Current solutions</w:t>
            </w:r>
          </w:p>
        </w:tc>
        <w:tc>
          <w:tcPr>
            <w:tcW w:w="9487" w:type="dxa"/>
          </w:tcPr>
          <w:p w14:paraId="0E16017D" w14:textId="77777777" w:rsidR="0030166E" w:rsidRDefault="0030166E" w:rsidP="0030166E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Current clinical practice relies on patient/family recognition of symptoms worsening, which is often too late</w:t>
            </w:r>
          </w:p>
          <w:p w14:paraId="3E79EDC3" w14:textId="77777777" w:rsidR="0030166E" w:rsidRDefault="0030166E" w:rsidP="0030166E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Formal diagnostics tests are impractical for routine monitoring</w:t>
            </w:r>
          </w:p>
          <w:p w14:paraId="24AE9BD4" w14:textId="3703D158" w:rsidR="0030166E" w:rsidRDefault="0030166E" w:rsidP="0030166E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EncephalApp requires active patient engagement </w:t>
            </w:r>
          </w:p>
        </w:tc>
      </w:tr>
      <w:tr w:rsidR="00FD5DDA" w14:paraId="667BC614" w14:textId="77777777">
        <w:tc>
          <w:tcPr>
            <w:tcW w:w="1421" w:type="dxa"/>
          </w:tcPr>
          <w:p w14:paraId="667BC60F" w14:textId="0AA3D0F1" w:rsidR="00FD5DDA" w:rsidRDefault="0027045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30166E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 w:rsidR="0030166E">
              <w:rPr>
                <w:rFonts w:ascii="Calibri" w:eastAsia="Calibri" w:hAnsi="Calibri" w:cs="Calibri"/>
                <w:sz w:val="20"/>
                <w:szCs w:val="20"/>
              </w:rPr>
              <w:t xml:space="preserve">Our solution </w:t>
            </w:r>
          </w:p>
        </w:tc>
        <w:tc>
          <w:tcPr>
            <w:tcW w:w="9487" w:type="dxa"/>
          </w:tcPr>
          <w:p w14:paraId="2F17C87F" w14:textId="0FF6B078" w:rsidR="0030166E" w:rsidRPr="0030166E" w:rsidRDefault="0030166E" w:rsidP="0030166E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72EAD">
              <w:rPr>
                <w:rFonts w:ascii="Calibri" w:eastAsia="Calibri" w:hAnsi="Calibri" w:cs="Calibri"/>
                <w:sz w:val="20"/>
                <w:szCs w:val="20"/>
              </w:rPr>
              <w:t>App-linked wristwatch tool for patients and their caregivers to passively track progression of early 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and catch flares early </w:t>
            </w:r>
          </w:p>
          <w:p w14:paraId="0A69797D" w14:textId="0B2C6684" w:rsidR="002B206C" w:rsidRPr="005136CB" w:rsidRDefault="0030166E" w:rsidP="0030166E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Passively t</w:t>
            </w:r>
            <w:r w:rsidR="002B206C" w:rsidRPr="005136CB">
              <w:rPr>
                <w:rFonts w:ascii="Calibri" w:eastAsia="Calibri" w:hAnsi="Calibri" w:cs="Calibri"/>
                <w:sz w:val="20"/>
                <w:szCs w:val="20"/>
              </w:rPr>
              <w:t>racks both quantity (sleep-wake and activity pattern</w:t>
            </w:r>
            <w:r w:rsidR="00F43237">
              <w:rPr>
                <w:rFonts w:ascii="Calibri" w:eastAsia="Calibri" w:hAnsi="Calibri" w:cs="Calibri"/>
                <w:sz w:val="20"/>
                <w:szCs w:val="20"/>
              </w:rPr>
              <w:t>, often first marker of HE progression</w:t>
            </w:r>
            <w:r w:rsidR="002B206C" w:rsidRPr="005136CB">
              <w:rPr>
                <w:rFonts w:ascii="Calibri" w:eastAsia="Calibri" w:hAnsi="Calibri" w:cs="Calibri"/>
                <w:sz w:val="20"/>
                <w:szCs w:val="20"/>
              </w:rPr>
              <w:t xml:space="preserve">) and quality of </w:t>
            </w:r>
            <w:r w:rsidR="005136CB" w:rsidRPr="005136CB">
              <w:rPr>
                <w:rFonts w:ascii="Calibri" w:eastAsia="Calibri" w:hAnsi="Calibri" w:cs="Calibri"/>
                <w:sz w:val="20"/>
                <w:szCs w:val="20"/>
              </w:rPr>
              <w:t xml:space="preserve">wrist/arm </w:t>
            </w:r>
            <w:r w:rsidR="002B206C" w:rsidRPr="005136CB">
              <w:rPr>
                <w:rFonts w:ascii="Calibri" w:eastAsia="Calibri" w:hAnsi="Calibri" w:cs="Calibri"/>
                <w:sz w:val="20"/>
                <w:szCs w:val="20"/>
              </w:rPr>
              <w:t xml:space="preserve">movements </w:t>
            </w:r>
          </w:p>
          <w:p w14:paraId="667BC613" w14:textId="70F46465" w:rsidR="00375287" w:rsidRPr="0030166E" w:rsidRDefault="002B206C" w:rsidP="0030166E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5136CB">
              <w:rPr>
                <w:rFonts w:ascii="Calibri" w:eastAsia="Calibri" w:hAnsi="Calibri" w:cs="Calibri"/>
                <w:sz w:val="20"/>
                <w:szCs w:val="20"/>
              </w:rPr>
              <w:t xml:space="preserve">Data feeds into machine learning algorithm to predict </w:t>
            </w:r>
            <w:r w:rsidR="00375287">
              <w:rPr>
                <w:rFonts w:ascii="Calibri" w:eastAsia="Calibri" w:hAnsi="Calibri" w:cs="Calibri"/>
                <w:sz w:val="20"/>
                <w:szCs w:val="20"/>
              </w:rPr>
              <w:t>progression of HE</w:t>
            </w:r>
            <w:r w:rsidR="00F4323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30166E">
              <w:rPr>
                <w:rFonts w:ascii="Calibri" w:eastAsia="Calibri" w:hAnsi="Calibri" w:cs="Calibri"/>
                <w:sz w:val="20"/>
                <w:szCs w:val="20"/>
              </w:rPr>
              <w:t>and alerts clinicians/patients</w:t>
            </w:r>
          </w:p>
        </w:tc>
      </w:tr>
      <w:tr w:rsidR="00FD5DDA" w14:paraId="667BC61B" w14:textId="77777777">
        <w:tc>
          <w:tcPr>
            <w:tcW w:w="1421" w:type="dxa"/>
          </w:tcPr>
          <w:p w14:paraId="667BC616" w14:textId="7A7FB1B0" w:rsidR="00FD5DDA" w:rsidRDefault="0027045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30166E">
              <w:rPr>
                <w:rFonts w:ascii="Calibri" w:eastAsia="Calibri" w:hAnsi="Calibri" w:cs="Calibri"/>
                <w:sz w:val="20"/>
                <w:szCs w:val="20"/>
              </w:rPr>
              <w:t>8: Our solution</w:t>
            </w:r>
          </w:p>
        </w:tc>
        <w:tc>
          <w:tcPr>
            <w:tcW w:w="9487" w:type="dxa"/>
          </w:tcPr>
          <w:p w14:paraId="056652F0" w14:textId="3CF2B124" w:rsidR="00FD5DDA" w:rsidRDefault="0030166E" w:rsidP="005136CB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Patients and provider team can see daily sleep and activity data, as well as trend of HE progression</w:t>
            </w:r>
          </w:p>
          <w:p w14:paraId="667BC61A" w14:textId="5121531E" w:rsidR="00C97580" w:rsidRPr="005136CB" w:rsidRDefault="0030166E" w:rsidP="005136CB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The app alerts patients and providers of worsening disease or onset of HE flares</w:t>
            </w:r>
          </w:p>
        </w:tc>
      </w:tr>
      <w:tr w:rsidR="00FD5DDA" w14:paraId="667BC622" w14:textId="77777777">
        <w:tc>
          <w:tcPr>
            <w:tcW w:w="1421" w:type="dxa"/>
          </w:tcPr>
          <w:p w14:paraId="667BC61D" w14:textId="646FDAD7" w:rsidR="00FD5DDA" w:rsidRDefault="0027045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30166E"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="0030166E">
              <w:rPr>
                <w:rFonts w:ascii="Calibri" w:eastAsia="Calibri" w:hAnsi="Calibri" w:cs="Calibri"/>
                <w:sz w:val="20"/>
                <w:szCs w:val="20"/>
              </w:rPr>
              <w:t xml:space="preserve"> Our research thus far</w:t>
            </w:r>
          </w:p>
        </w:tc>
        <w:tc>
          <w:tcPr>
            <w:tcW w:w="9487" w:type="dxa"/>
          </w:tcPr>
          <w:p w14:paraId="66848E08" w14:textId="77777777" w:rsidR="0030166E" w:rsidRDefault="0030166E" w:rsidP="00375287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Clinician interviews to validate unmet need and approach</w:t>
            </w:r>
          </w:p>
          <w:p w14:paraId="165978B3" w14:textId="77777777" w:rsidR="0030166E" w:rsidRDefault="0030166E" w:rsidP="00375287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Patient interviews regarding technology friendliness</w:t>
            </w:r>
          </w:p>
          <w:p w14:paraId="667BC621" w14:textId="0E892602" w:rsidR="002B41E1" w:rsidRPr="00375287" w:rsidRDefault="0030166E" w:rsidP="00375287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Chart review to validate scope of problem at a local center</w:t>
            </w:r>
            <w:r w:rsidR="00F4323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30166E" w14:paraId="34AEFCD8" w14:textId="77777777">
        <w:tc>
          <w:tcPr>
            <w:tcW w:w="1421" w:type="dxa"/>
          </w:tcPr>
          <w:p w14:paraId="6619FA9B" w14:textId="78E25825" w:rsidR="0030166E" w:rsidRDefault="0030166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S10: Next steps</w:t>
            </w:r>
          </w:p>
        </w:tc>
        <w:tc>
          <w:tcPr>
            <w:tcW w:w="9487" w:type="dxa"/>
          </w:tcPr>
          <w:p w14:paraId="663605C4" w14:textId="77777777" w:rsidR="0030166E" w:rsidRDefault="0030166E" w:rsidP="00F37DA0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Apply for grants</w:t>
            </w:r>
          </w:p>
          <w:p w14:paraId="5059C387" w14:textId="1EF96234" w:rsidR="0030166E" w:rsidRDefault="0030166E" w:rsidP="00F37DA0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Design and conduct pilot study as proof-of-concept with iWatch</w:t>
            </w:r>
          </w:p>
          <w:p w14:paraId="0DB004A6" w14:textId="4A4EC783" w:rsidR="0030166E" w:rsidRPr="00F37DA0" w:rsidRDefault="0030166E" w:rsidP="00F37DA0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File IP and develop commercial strategy</w:t>
            </w:r>
          </w:p>
        </w:tc>
      </w:tr>
      <w:tr w:rsidR="00FD5DDA" w14:paraId="667BC629" w14:textId="77777777">
        <w:tc>
          <w:tcPr>
            <w:tcW w:w="1421" w:type="dxa"/>
          </w:tcPr>
          <w:p w14:paraId="667BC623" w14:textId="47717DD1" w:rsidR="00FD5DDA" w:rsidRDefault="0027045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4550B1"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667BC624" w14:textId="77777777" w:rsidR="00FD5DDA" w:rsidRDefault="0027045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Team</w:t>
            </w:r>
          </w:p>
        </w:tc>
        <w:tc>
          <w:tcPr>
            <w:tcW w:w="9487" w:type="dxa"/>
          </w:tcPr>
          <w:p w14:paraId="66ADDFFD" w14:textId="6909C8AF" w:rsidR="00FD5DDA" w:rsidRDefault="00F37DA0" w:rsidP="00F37DA0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37DA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Cofounders Thomas Wang and Xing Li</w:t>
            </w:r>
          </w:p>
          <w:p w14:paraId="667BC628" w14:textId="20E31C94" w:rsidR="00F37DA0" w:rsidRPr="009F5B34" w:rsidRDefault="009F5B34" w:rsidP="009F5B34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Advisors include s</w:t>
            </w:r>
            <w:r w:rsidR="00F37DA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trategy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: </w:t>
            </w:r>
            <w:r w:rsidR="00F37DA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Jason </w:t>
            </w:r>
            <w:r w:rsidR="00FC5DD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Tucker–Schwartz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 w:rsidR="00FC5DD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machine learning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 Claire Zhao, and clinical: Raymond Chung, MGH l</w:t>
            </w:r>
            <w:r w:rsidR="00F37DA0" w:rsidRPr="009F5B3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iver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</w:t>
            </w:r>
            <w:r w:rsidR="00F37DA0" w:rsidRPr="009F5B3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epartment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 w:rsidR="00F37DA0" w:rsidRPr="009F5B3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hair</w:t>
            </w:r>
            <w:r w:rsidR="0092496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Nneka Ufere, MGH liver fellow </w:t>
            </w:r>
            <w:bookmarkStart w:id="1" w:name="_GoBack"/>
            <w:bookmarkEnd w:id="1"/>
          </w:p>
        </w:tc>
      </w:tr>
      <w:tr w:rsidR="00FD5DDA" w14:paraId="667BC630" w14:textId="77777777" w:rsidTr="0030166E">
        <w:trPr>
          <w:trHeight w:val="269"/>
        </w:trPr>
        <w:tc>
          <w:tcPr>
            <w:tcW w:w="1421" w:type="dxa"/>
          </w:tcPr>
          <w:p w14:paraId="667BC62A" w14:textId="37DE3B0A" w:rsidR="00FD5DDA" w:rsidRDefault="0027045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4550B1"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667BC62B" w14:textId="77777777" w:rsidR="00FD5DDA" w:rsidRDefault="0027045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Closing</w:t>
            </w:r>
          </w:p>
        </w:tc>
        <w:tc>
          <w:tcPr>
            <w:tcW w:w="9487" w:type="dxa"/>
          </w:tcPr>
          <w:p w14:paraId="667BC62F" w14:textId="60393549" w:rsidR="00FD5DDA" w:rsidRPr="0030166E" w:rsidRDefault="00FD5DDA" w:rsidP="0030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667BC631" w14:textId="77777777" w:rsidR="00FD5DDA" w:rsidRDefault="00FD5DDA">
      <w:pPr>
        <w:rPr>
          <w:rFonts w:ascii="Calibri" w:eastAsia="Calibri" w:hAnsi="Calibri" w:cs="Calibri"/>
          <w:sz w:val="20"/>
          <w:szCs w:val="20"/>
        </w:rPr>
      </w:pPr>
    </w:p>
    <w:sectPr w:rsidR="00FD5DD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08ED"/>
    <w:multiLevelType w:val="multilevel"/>
    <w:tmpl w:val="26F289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2D7159"/>
    <w:multiLevelType w:val="hybridMultilevel"/>
    <w:tmpl w:val="60FE8AC4"/>
    <w:lvl w:ilvl="0" w:tplc="1BDE7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06A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A61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26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06B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102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D49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188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6B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180D12"/>
    <w:multiLevelType w:val="hybridMultilevel"/>
    <w:tmpl w:val="32B6F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30815"/>
    <w:multiLevelType w:val="hybridMultilevel"/>
    <w:tmpl w:val="80909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87A64"/>
    <w:multiLevelType w:val="hybridMultilevel"/>
    <w:tmpl w:val="3CD6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B6AF8"/>
    <w:multiLevelType w:val="hybridMultilevel"/>
    <w:tmpl w:val="1190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517F0"/>
    <w:multiLevelType w:val="multilevel"/>
    <w:tmpl w:val="26F289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D1229D1"/>
    <w:multiLevelType w:val="hybridMultilevel"/>
    <w:tmpl w:val="F24A98A4"/>
    <w:lvl w:ilvl="0" w:tplc="56E86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D26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0C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8F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384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8E2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E3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A4C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AF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B13C48"/>
    <w:multiLevelType w:val="hybridMultilevel"/>
    <w:tmpl w:val="A212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860E2"/>
    <w:multiLevelType w:val="hybridMultilevel"/>
    <w:tmpl w:val="1B10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86934"/>
    <w:multiLevelType w:val="hybridMultilevel"/>
    <w:tmpl w:val="6B80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6041E"/>
    <w:multiLevelType w:val="hybridMultilevel"/>
    <w:tmpl w:val="3446D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D15A3"/>
    <w:multiLevelType w:val="hybridMultilevel"/>
    <w:tmpl w:val="70C6B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53E15"/>
    <w:multiLevelType w:val="hybridMultilevel"/>
    <w:tmpl w:val="DA9A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80D8D"/>
    <w:multiLevelType w:val="hybridMultilevel"/>
    <w:tmpl w:val="105CF052"/>
    <w:lvl w:ilvl="0" w:tplc="27647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4A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4AE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04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A4C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587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8AB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4A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B6D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77B01CF"/>
    <w:multiLevelType w:val="multilevel"/>
    <w:tmpl w:val="26F289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5"/>
  </w:num>
  <w:num w:numId="8">
    <w:abstractNumId w:val="3"/>
  </w:num>
  <w:num w:numId="9">
    <w:abstractNumId w:val="12"/>
  </w:num>
  <w:num w:numId="10">
    <w:abstractNumId w:val="11"/>
  </w:num>
  <w:num w:numId="11">
    <w:abstractNumId w:val="8"/>
  </w:num>
  <w:num w:numId="12">
    <w:abstractNumId w:val="15"/>
  </w:num>
  <w:num w:numId="13">
    <w:abstractNumId w:val="0"/>
  </w:num>
  <w:num w:numId="14">
    <w:abstractNumId w:val="4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DDA"/>
    <w:rsid w:val="000121F2"/>
    <w:rsid w:val="00066375"/>
    <w:rsid w:val="001011B8"/>
    <w:rsid w:val="00123C7F"/>
    <w:rsid w:val="00152253"/>
    <w:rsid w:val="00181740"/>
    <w:rsid w:val="001A5C7A"/>
    <w:rsid w:val="001D5B54"/>
    <w:rsid w:val="001E315B"/>
    <w:rsid w:val="002255F3"/>
    <w:rsid w:val="00252353"/>
    <w:rsid w:val="00270458"/>
    <w:rsid w:val="00272EAD"/>
    <w:rsid w:val="00294F55"/>
    <w:rsid w:val="002B206C"/>
    <w:rsid w:val="002B41E1"/>
    <w:rsid w:val="002C1D23"/>
    <w:rsid w:val="0030166E"/>
    <w:rsid w:val="003238C7"/>
    <w:rsid w:val="00325CB5"/>
    <w:rsid w:val="00363DDF"/>
    <w:rsid w:val="00375287"/>
    <w:rsid w:val="00396B9A"/>
    <w:rsid w:val="003E2B1B"/>
    <w:rsid w:val="003E4003"/>
    <w:rsid w:val="00411CEE"/>
    <w:rsid w:val="00422623"/>
    <w:rsid w:val="00436729"/>
    <w:rsid w:val="00445069"/>
    <w:rsid w:val="00451B75"/>
    <w:rsid w:val="004550B1"/>
    <w:rsid w:val="004A70A0"/>
    <w:rsid w:val="004B3FC5"/>
    <w:rsid w:val="005011F1"/>
    <w:rsid w:val="00510E9A"/>
    <w:rsid w:val="005136CB"/>
    <w:rsid w:val="00545BDD"/>
    <w:rsid w:val="0058356F"/>
    <w:rsid w:val="005D26B9"/>
    <w:rsid w:val="006546FD"/>
    <w:rsid w:val="006A18BF"/>
    <w:rsid w:val="00706F8E"/>
    <w:rsid w:val="00737D91"/>
    <w:rsid w:val="007C3AC5"/>
    <w:rsid w:val="007C3B52"/>
    <w:rsid w:val="007C64B4"/>
    <w:rsid w:val="0087376D"/>
    <w:rsid w:val="00897964"/>
    <w:rsid w:val="0089797E"/>
    <w:rsid w:val="008E05DD"/>
    <w:rsid w:val="00900A75"/>
    <w:rsid w:val="00924969"/>
    <w:rsid w:val="009405A1"/>
    <w:rsid w:val="009A2249"/>
    <w:rsid w:val="009A450C"/>
    <w:rsid w:val="009A68D1"/>
    <w:rsid w:val="009E0D25"/>
    <w:rsid w:val="009E2BE4"/>
    <w:rsid w:val="009F5B34"/>
    <w:rsid w:val="00A25ABD"/>
    <w:rsid w:val="00A26A76"/>
    <w:rsid w:val="00AA218A"/>
    <w:rsid w:val="00AA77D1"/>
    <w:rsid w:val="00AB09C7"/>
    <w:rsid w:val="00B004FF"/>
    <w:rsid w:val="00B8100C"/>
    <w:rsid w:val="00B81875"/>
    <w:rsid w:val="00B912E4"/>
    <w:rsid w:val="00BD2444"/>
    <w:rsid w:val="00BF135F"/>
    <w:rsid w:val="00C17D3B"/>
    <w:rsid w:val="00C97580"/>
    <w:rsid w:val="00CB17CD"/>
    <w:rsid w:val="00CC4ACB"/>
    <w:rsid w:val="00D31B57"/>
    <w:rsid w:val="00D4183B"/>
    <w:rsid w:val="00D83205"/>
    <w:rsid w:val="00DA7942"/>
    <w:rsid w:val="00DC61B0"/>
    <w:rsid w:val="00DD4D60"/>
    <w:rsid w:val="00DE3A5D"/>
    <w:rsid w:val="00DE4367"/>
    <w:rsid w:val="00E2430A"/>
    <w:rsid w:val="00E271F1"/>
    <w:rsid w:val="00E3072B"/>
    <w:rsid w:val="00E30D1E"/>
    <w:rsid w:val="00E539DE"/>
    <w:rsid w:val="00E64DA7"/>
    <w:rsid w:val="00EA002B"/>
    <w:rsid w:val="00EC58FE"/>
    <w:rsid w:val="00EE6174"/>
    <w:rsid w:val="00EE6B35"/>
    <w:rsid w:val="00EE6D08"/>
    <w:rsid w:val="00EF5CE4"/>
    <w:rsid w:val="00F22D15"/>
    <w:rsid w:val="00F37DA0"/>
    <w:rsid w:val="00F43237"/>
    <w:rsid w:val="00F43D7C"/>
    <w:rsid w:val="00F646CE"/>
    <w:rsid w:val="00F75489"/>
    <w:rsid w:val="00F91A83"/>
    <w:rsid w:val="00FA5332"/>
    <w:rsid w:val="00FC5DD3"/>
    <w:rsid w:val="00FD5DDA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7BC5F1"/>
  <w15:docId w15:val="{FF6666F8-940B-41C5-A3CB-73601897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966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67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3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35C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89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9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57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lxfrRWwqIcrR+ZzOUOrUZUDGXg==">AMUW2mW8rY+RFqtQSwHfWiKdylHwrQMyacH2ldjRFZDUSlM/H/pIU3MFn9mPpXi8BgCRXk2dBziWbVZsp+a7nHurPv4IllhToeOfFoXAgLgxMveBRmUlPXfo5TRlbEWMz466KQ3M3utK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Xing,M.D.</dc:creator>
  <cp:lastModifiedBy>Microsoft Office User</cp:lastModifiedBy>
  <cp:revision>5</cp:revision>
  <dcterms:created xsi:type="dcterms:W3CDTF">2019-12-03T21:15:00Z</dcterms:created>
  <dcterms:modified xsi:type="dcterms:W3CDTF">2019-12-03T21:25:00Z</dcterms:modified>
</cp:coreProperties>
</file>