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BD81" w14:textId="77777777" w:rsidR="00957FDB" w:rsidRPr="00957FDB" w:rsidRDefault="00957FDB" w:rsidP="00957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7FDB">
        <w:rPr>
          <w:rFonts w:ascii="Arial" w:eastAsia="Times New Roman" w:hAnsi="Arial" w:cs="Arial"/>
          <w:color w:val="222222"/>
          <w:sz w:val="24"/>
          <w:szCs w:val="24"/>
        </w:rPr>
        <w:t>Patients with Spinal Cord Injury (SCI) suffer from permanent loss of motor, sensory and autonomic functions.</w:t>
      </w:r>
    </w:p>
    <w:p w14:paraId="5ADCF1C7" w14:textId="77777777" w:rsidR="00957FDB" w:rsidRPr="00957FDB" w:rsidRDefault="00957FDB" w:rsidP="00957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957FDB">
        <w:rPr>
          <w:rFonts w:ascii="Arial" w:eastAsia="Times New Roman" w:hAnsi="Arial" w:cs="Arial"/>
          <w:color w:val="222222"/>
          <w:sz w:val="24"/>
          <w:szCs w:val="24"/>
        </w:rPr>
        <w:t>There is currently no effective treatment that can regenerate the injured spinal cord and that restore those functions and unfortunately this condition has a huge economic, social and medical burden.</w:t>
      </w:r>
    </w:p>
    <w:p w14:paraId="6934390E" w14:textId="77777777" w:rsidR="00957FDB" w:rsidRPr="00957FDB" w:rsidRDefault="00957FDB" w:rsidP="00957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proofErr w:type="spellStart"/>
      <w:r w:rsidRPr="00957FDB">
        <w:rPr>
          <w:rFonts w:ascii="Arial" w:eastAsia="Times New Roman" w:hAnsi="Arial" w:cs="Arial"/>
          <w:color w:val="222222"/>
          <w:sz w:val="24"/>
          <w:szCs w:val="24"/>
        </w:rPr>
        <w:t>Matricelf</w:t>
      </w:r>
      <w:proofErr w:type="spellEnd"/>
      <w:r w:rsidRPr="00957FDB">
        <w:rPr>
          <w:rFonts w:ascii="Arial" w:eastAsia="Times New Roman" w:hAnsi="Arial" w:cs="Arial"/>
          <w:color w:val="222222"/>
          <w:sz w:val="24"/>
          <w:szCs w:val="24"/>
        </w:rPr>
        <w:t xml:space="preserve"> is developing a complete autologous (personal) 3D neural implant that showed promising pre-clinical results by restoring motor functions in mice.  The condition can be classified as a regenerative medicine advanced therapy (RMAT) by the FDA and therefore enable the company to start a first in human clinical trial in 2024.</w:t>
      </w:r>
    </w:p>
    <w:p w14:paraId="34BBF53E" w14:textId="77777777" w:rsidR="00D21C6C" w:rsidRDefault="00B33876"/>
    <w:sectPr w:rsidR="00D21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1209A" w14:textId="77777777" w:rsidR="00B33876" w:rsidRDefault="00B33876" w:rsidP="00957FDB">
      <w:pPr>
        <w:spacing w:after="0" w:line="240" w:lineRule="auto"/>
      </w:pPr>
      <w:r>
        <w:separator/>
      </w:r>
    </w:p>
  </w:endnote>
  <w:endnote w:type="continuationSeparator" w:id="0">
    <w:p w14:paraId="5887E960" w14:textId="77777777" w:rsidR="00B33876" w:rsidRDefault="00B33876" w:rsidP="0095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E0B3" w14:textId="77777777" w:rsidR="00B33876" w:rsidRDefault="00B33876" w:rsidP="00957FDB">
      <w:pPr>
        <w:spacing w:after="0" w:line="240" w:lineRule="auto"/>
      </w:pPr>
      <w:r>
        <w:separator/>
      </w:r>
    </w:p>
  </w:footnote>
  <w:footnote w:type="continuationSeparator" w:id="0">
    <w:p w14:paraId="06858F5A" w14:textId="77777777" w:rsidR="00B33876" w:rsidRDefault="00B33876" w:rsidP="00957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DB"/>
    <w:rsid w:val="00382E31"/>
    <w:rsid w:val="00755B73"/>
    <w:rsid w:val="00957FDB"/>
    <w:rsid w:val="00B3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00A1"/>
  <w15:chartTrackingRefBased/>
  <w15:docId w15:val="{DBA410D0-E72C-4894-9674-CD5DA325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FDB"/>
  </w:style>
  <w:style w:type="paragraph" w:styleId="Footer">
    <w:name w:val="footer"/>
    <w:basedOn w:val="Normal"/>
    <w:link w:val="FooterChar"/>
    <w:uiPriority w:val="99"/>
    <w:unhideWhenUsed/>
    <w:rsid w:val="0095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Asaf Toker</dc:creator>
  <cp:keywords/>
  <dc:description/>
  <cp:lastModifiedBy>Asaf Toker</cp:lastModifiedBy>
  <cp:revision>1</cp:revision>
  <dcterms:created xsi:type="dcterms:W3CDTF">2021-06-27T10:09:00Z</dcterms:created>
  <dcterms:modified xsi:type="dcterms:W3CDTF">2021-06-27T10:11:00Z</dcterms:modified>
</cp:coreProperties>
</file>