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IDEA2 2022 | Need Statement Template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Precision Cancer based on Rapid and Affordable Single-cell Omics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color w:val="ffc000"/>
        </w:rPr>
      </w:pPr>
      <w:r w:rsidDel="00000000" w:rsidR="00000000" w:rsidRPr="00000000">
        <w:rPr>
          <w:color w:val="ffc000"/>
          <w:rtl w:val="0"/>
        </w:rPr>
        <w:t xml:space="preserve">Anyone receiving a cancer diagnosis</w:t>
      </w:r>
      <w:r w:rsidDel="00000000" w:rsidR="00000000" w:rsidRPr="00000000">
        <w:rPr>
          <w:rtl w:val="0"/>
        </w:rPr>
        <w:t xml:space="preserve"> experiences </w:t>
      </w:r>
      <w:r w:rsidDel="00000000" w:rsidR="00000000" w:rsidRPr="00000000">
        <w:rPr>
          <w:color w:val="ffc000"/>
          <w:rtl w:val="0"/>
        </w:rPr>
        <w:t xml:space="preserve">the need to rush into treatment. And that’s the right thing to do, as one month's delay raises the risk of death by around 10% </w:t>
      </w:r>
      <w:r w:rsidDel="00000000" w:rsidR="00000000" w:rsidRPr="00000000">
        <w:rPr>
          <w:color w:val="ffc000"/>
          <w:vertAlign w:val="superscript"/>
          <w:rtl w:val="0"/>
        </w:rPr>
        <w:t xml:space="preserve">(1)</w:t>
      </w:r>
      <w:r w:rsidDel="00000000" w:rsidR="00000000" w:rsidRPr="00000000">
        <w:rPr>
          <w:color w:val="ffc000"/>
          <w:rtl w:val="0"/>
        </w:rPr>
        <w:t xml:space="preserve">. But expensive and </w:t>
      </w:r>
      <w:r w:rsidDel="00000000" w:rsidR="00000000" w:rsidRPr="00000000">
        <w:rPr>
          <w:color w:val="ffc000"/>
          <w:rtl w:val="0"/>
        </w:rPr>
        <w:t xml:space="preserve">time-consuming </w:t>
      </w:r>
      <w:r w:rsidDel="00000000" w:rsidR="00000000" w:rsidRPr="00000000">
        <w:rPr>
          <w:color w:val="ffc000"/>
          <w:rtl w:val="0"/>
        </w:rPr>
        <w:t xml:space="preserve">diagnostic</w:t>
      </w:r>
      <w:r w:rsidDel="00000000" w:rsidR="00000000" w:rsidRPr="00000000">
        <w:rPr>
          <w:color w:val="ffc000"/>
          <w:rtl w:val="0"/>
        </w:rPr>
        <w:t xml:space="preserve"> protocols are needed for accessing effective cancer therapies with minimum side effects.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color w:val="ffc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color w:val="5b9bd5"/>
        </w:rPr>
      </w:pPr>
      <w:r w:rsidDel="00000000" w:rsidR="00000000" w:rsidRPr="00000000">
        <w:rPr>
          <w:color w:val="5b9bd5"/>
          <w:rtl w:val="0"/>
        </w:rPr>
        <w:t xml:space="preserve">Oncologists</w:t>
      </w:r>
      <w:r w:rsidDel="00000000" w:rsidR="00000000" w:rsidRPr="00000000">
        <w:rPr>
          <w:rtl w:val="0"/>
        </w:rPr>
        <w:t xml:space="preserve"> are concerned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5b9bd5"/>
          <w:rtl w:val="0"/>
        </w:rPr>
        <w:t xml:space="preserve">with the lack of effectiveness of cancer therapies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currently try to avoid that outcome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5b9bd5"/>
          <w:rtl w:val="0"/>
        </w:rPr>
        <w:t xml:space="preserve">by using diagnostic tools based on molecular signals from cancer cells</w:t>
      </w:r>
      <w:r w:rsidDel="00000000" w:rsidR="00000000" w:rsidRPr="00000000">
        <w:rPr>
          <w:color w:val="5b9bd5"/>
          <w:vertAlign w:val="superscript"/>
          <w:rtl w:val="0"/>
        </w:rPr>
        <w:t xml:space="preserve">(2)</w:t>
      </w:r>
      <w:r w:rsidDel="00000000" w:rsidR="00000000" w:rsidRPr="00000000">
        <w:rPr>
          <w:color w:val="5b9bd5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However, that approach fails </w:t>
      </w:r>
      <w:r w:rsidDel="00000000" w:rsidR="00000000" w:rsidRPr="00000000">
        <w:rPr>
          <w:color w:val="5b9bd5"/>
          <w:rtl w:val="0"/>
        </w:rPr>
        <w:t xml:space="preserve">as with few exceptions, cancer therapies at some moment stop working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trike w:val="1"/>
        </w:rPr>
      </w:pPr>
      <w:r w:rsidDel="00000000" w:rsidR="00000000" w:rsidRPr="00000000">
        <w:rPr>
          <w:rtl w:val="0"/>
        </w:rPr>
        <w:t xml:space="preserve">A key cause for that failure </w:t>
      </w:r>
      <w:r w:rsidDel="00000000" w:rsidR="00000000" w:rsidRPr="00000000">
        <w:rPr>
          <w:color w:val="5b9bd5"/>
          <w:rtl w:val="0"/>
        </w:rPr>
        <w:t xml:space="preserve">is that current DNA sequencing applications extracting molecular signals from cancer cells provide just a low-resolution view. This hinders the true heterogeneity of cancer cells, the ultimate cause of cancer progression and drug resistance </w:t>
      </w:r>
      <w:r w:rsidDel="00000000" w:rsidR="00000000" w:rsidRPr="00000000">
        <w:rPr>
          <w:color w:val="5b9bd5"/>
          <w:vertAlign w:val="superscript"/>
          <w:rtl w:val="0"/>
        </w:rPr>
        <w:t xml:space="preserve">(3)</w:t>
      </w:r>
      <w:r w:rsidDel="00000000" w:rsidR="00000000" w:rsidRPr="00000000">
        <w:rPr>
          <w:color w:val="5b9bd5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                </w:t>
        <w:tab/>
        <w:tab/>
        <w:tab/>
        <w:t xml:space="preserve">                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70ad47"/>
        </w:rPr>
      </w:pPr>
      <w:r w:rsidDel="00000000" w:rsidR="00000000" w:rsidRPr="00000000">
        <w:rPr>
          <w:rtl w:val="0"/>
        </w:rPr>
        <w:t xml:space="preserve">Accordingly, there is a need </w:t>
      </w:r>
      <w:r w:rsidDel="00000000" w:rsidR="00000000" w:rsidRPr="00000000">
        <w:rPr>
          <w:color w:val="70ad47"/>
          <w:rtl w:val="0"/>
        </w:rPr>
        <w:t xml:space="preserve">for a new generation of rapid and affordable DNA sequencing applications enabling a high-resolution view of the heterogeneity of cancer cells</w:t>
      </w:r>
      <w:r w:rsidDel="00000000" w:rsidR="00000000" w:rsidRPr="00000000">
        <w:rPr>
          <w:color w:val="70ad47"/>
          <w:vertAlign w:val="superscript"/>
          <w:rtl w:val="0"/>
        </w:rPr>
        <w:t xml:space="preserve">(4)</w:t>
      </w:r>
      <w:r w:rsidDel="00000000" w:rsidR="00000000" w:rsidRPr="00000000">
        <w:rPr>
          <w:color w:val="70ad47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trike w:val="1"/>
          <w:color w:val="70ad47"/>
        </w:rPr>
      </w:pPr>
      <w:r w:rsidDel="00000000" w:rsidR="00000000" w:rsidRPr="00000000">
        <w:rPr>
          <w:rtl w:val="0"/>
        </w:rPr>
        <w:t xml:space="preserve">Which if </w:t>
      </w:r>
      <w:r w:rsidDel="00000000" w:rsidR="00000000" w:rsidRPr="00000000">
        <w:rPr>
          <w:rtl w:val="0"/>
        </w:rPr>
        <w:t xml:space="preserve">solved would lead to </w:t>
      </w:r>
      <w:r w:rsidDel="00000000" w:rsidR="00000000" w:rsidRPr="00000000">
        <w:rPr>
          <w:color w:val="70ad47"/>
          <w:rtl w:val="0"/>
        </w:rPr>
        <w:t xml:space="preserve">an improvement in prevention, early detection, and treatment of cancer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trike w:val="1"/>
          <w:color w:val="70ad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Arial" w:cs="Arial" w:eastAsia="Arial" w:hAnsi="Arial"/>
          <w:color w:val="3c4245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315" w:hanging="315"/>
        <w:jc w:val="both"/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12121"/>
          <w:sz w:val="18"/>
          <w:szCs w:val="18"/>
          <w:highlight w:val="white"/>
          <w:rtl w:val="0"/>
        </w:rPr>
        <w:t xml:space="preserve">Hanna, T. P., King, W. D., Thibodeau, S., Jalink, M., Paulin, G. A., Harvey-Jones, E., O'Sullivan, D. E., Booth, C. M., Sullivan, R., &amp; Aggarwal, A. (2020). Mortality due to cancer treatment delay: systematic review and meta-analysis. </w:t>
      </w:r>
      <w:r w:rsidDel="00000000" w:rsidR="00000000" w:rsidRPr="00000000">
        <w:rPr>
          <w:rFonts w:ascii="Roboto" w:cs="Roboto" w:eastAsia="Roboto" w:hAnsi="Roboto"/>
          <w:i w:val="1"/>
          <w:color w:val="212121"/>
          <w:sz w:val="18"/>
          <w:szCs w:val="18"/>
          <w:highlight w:val="white"/>
          <w:rtl w:val="0"/>
        </w:rPr>
        <w:t xml:space="preserve">BMJ (Clinical research ed.)</w:t>
      </w:r>
      <w:r w:rsidDel="00000000" w:rsidR="00000000" w:rsidRPr="00000000">
        <w:rPr>
          <w:rFonts w:ascii="Roboto" w:cs="Roboto" w:eastAsia="Roboto" w:hAnsi="Roboto"/>
          <w:color w:val="212121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212121"/>
          <w:sz w:val="18"/>
          <w:szCs w:val="18"/>
          <w:highlight w:val="white"/>
          <w:rtl w:val="0"/>
        </w:rPr>
        <w:t xml:space="preserve">371</w:t>
      </w:r>
      <w:r w:rsidDel="00000000" w:rsidR="00000000" w:rsidRPr="00000000">
        <w:rPr>
          <w:rFonts w:ascii="Roboto" w:cs="Roboto" w:eastAsia="Roboto" w:hAnsi="Roboto"/>
          <w:color w:val="212121"/>
          <w:sz w:val="18"/>
          <w:szCs w:val="18"/>
          <w:highlight w:val="white"/>
          <w:rtl w:val="0"/>
        </w:rPr>
        <w:t xml:space="preserve">, m4087.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https://doi.org/10.1136/bmj.m4087</w:t>
        </w:r>
      </w:hyperlink>
      <w:r w:rsidDel="00000000" w:rsidR="00000000" w:rsidRPr="00000000">
        <w:rPr>
          <w:rFonts w:ascii="Roboto" w:cs="Roboto" w:eastAsia="Roboto" w:hAnsi="Roboto"/>
          <w:color w:val="212121"/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60" w:lineRule="auto"/>
        <w:ind w:left="315" w:hanging="315"/>
        <w:jc w:val="both"/>
        <w:rPr>
          <w:rFonts w:ascii="Roboto" w:cs="Roboto" w:eastAsia="Roboto" w:hAnsi="Roboto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020"/>
          <w:sz w:val="18"/>
          <w:szCs w:val="18"/>
          <w:highlight w:val="white"/>
          <w:rtl w:val="0"/>
        </w:rPr>
        <w:t xml:space="preserve">Milbury CA, Creeden J, Yip WK, Smith DL, Pattani V, et al. (2022) Clinical and analytical validation of FoundationOne®CDx, a comprehensive genomic profiling assay for solid tumors. PLOS ONE 17(3): e0264138. </w:t>
      </w:r>
      <w:hyperlink r:id="rId8">
        <w:r w:rsidDel="00000000" w:rsidR="00000000" w:rsidRPr="00000000">
          <w:rPr>
            <w:rFonts w:ascii="Roboto" w:cs="Roboto" w:eastAsia="Roboto" w:hAnsi="Roboto"/>
            <w:color w:val="3e0577"/>
            <w:sz w:val="18"/>
            <w:szCs w:val="18"/>
            <w:highlight w:val="white"/>
            <w:u w:val="single"/>
            <w:rtl w:val="0"/>
          </w:rPr>
          <w:t xml:space="preserve">https://doi.org/10.1371/journal.pone.0264138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315" w:right="0" w:hanging="315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Arial" w:cs="Arial" w:eastAsia="Arial" w:hAnsi="Arial"/>
          <w:color w:val="202020"/>
          <w:sz w:val="18"/>
          <w:szCs w:val="18"/>
          <w:highlight w:val="white"/>
          <w:rtl w:val="0"/>
        </w:rPr>
        <w:t xml:space="preserve">Dagogo</w:t>
      </w:r>
      <w:r w:rsidDel="00000000" w:rsidR="00000000" w:rsidRPr="00000000">
        <w:rPr>
          <w:rFonts w:ascii="Roboto" w:cs="Roboto" w:eastAsia="Roboto" w:hAnsi="Roboto"/>
          <w:color w:val="222222"/>
          <w:sz w:val="18"/>
          <w:szCs w:val="18"/>
          <w:highlight w:val="white"/>
          <w:rtl w:val="0"/>
        </w:rPr>
        <w:t xml:space="preserve">-Jack, I., Shaw, A. (2018) Tumour heterogeneity and resistance to cancer therapies. </w:t>
      </w:r>
      <w:r w:rsidDel="00000000" w:rsidR="00000000" w:rsidRPr="00000000">
        <w:rPr>
          <w:rFonts w:ascii="Roboto" w:cs="Roboto" w:eastAsia="Roboto" w:hAnsi="Roboto"/>
          <w:i w:val="1"/>
          <w:color w:val="222222"/>
          <w:sz w:val="18"/>
          <w:szCs w:val="18"/>
          <w:highlight w:val="white"/>
          <w:rtl w:val="0"/>
        </w:rPr>
        <w:t xml:space="preserve">Nat Rev Clin Oncol</w:t>
      </w:r>
      <w:r w:rsidDel="00000000" w:rsidR="00000000" w:rsidRPr="00000000">
        <w:rPr>
          <w:rFonts w:ascii="Roboto" w:cs="Roboto" w:eastAsia="Roboto" w:hAnsi="Roboto"/>
          <w:color w:val="222222"/>
          <w:sz w:val="18"/>
          <w:szCs w:val="18"/>
          <w:highlight w:val="white"/>
          <w:rtl w:val="0"/>
        </w:rPr>
        <w:t xml:space="preserve"> 15, 81–94.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https://doi.org/10.1038/nrclinonc.2017.166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315" w:right="0" w:hanging="315"/>
        <w:jc w:val="both"/>
        <w:rPr>
          <w:rFonts w:ascii="Arial" w:cs="Arial" w:eastAsia="Arial" w:hAnsi="Arial"/>
          <w:sz w:val="18"/>
          <w:szCs w:val="18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03030"/>
          <w:sz w:val="18"/>
          <w:szCs w:val="18"/>
          <w:highlight w:val="white"/>
          <w:rtl w:val="0"/>
        </w:rPr>
        <w:t xml:space="preserve">Navin N. E. (2015). The first five years of single-cell cancer genomics and </w:t>
      </w:r>
      <w:r w:rsidDel="00000000" w:rsidR="00000000" w:rsidRPr="00000000">
        <w:rPr>
          <w:rFonts w:ascii="Roboto" w:cs="Roboto" w:eastAsia="Roboto" w:hAnsi="Roboto"/>
          <w:color w:val="222222"/>
          <w:sz w:val="18"/>
          <w:szCs w:val="18"/>
          <w:highlight w:val="white"/>
          <w:rtl w:val="0"/>
        </w:rPr>
        <w:t xml:space="preserve">beyond</w:t>
      </w:r>
      <w:r w:rsidDel="00000000" w:rsidR="00000000" w:rsidRPr="00000000">
        <w:rPr>
          <w:rFonts w:ascii="Roboto" w:cs="Roboto" w:eastAsia="Roboto" w:hAnsi="Roboto"/>
          <w:color w:val="303030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18"/>
          <w:szCs w:val="18"/>
          <w:highlight w:val="white"/>
          <w:rtl w:val="0"/>
        </w:rPr>
        <w:t xml:space="preserve">Genome Research</w:t>
      </w:r>
      <w:r w:rsidDel="00000000" w:rsidR="00000000" w:rsidRPr="00000000">
        <w:rPr>
          <w:rFonts w:ascii="Roboto" w:cs="Roboto" w:eastAsia="Roboto" w:hAnsi="Roboto"/>
          <w:color w:val="303030"/>
          <w:sz w:val="18"/>
          <w:szCs w:val="18"/>
          <w:highlight w:val="whit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303030"/>
          <w:sz w:val="18"/>
          <w:szCs w:val="18"/>
          <w:highlight w:val="white"/>
          <w:rtl w:val="0"/>
        </w:rPr>
        <w:t xml:space="preserve">25</w:t>
      </w:r>
      <w:r w:rsidDel="00000000" w:rsidR="00000000" w:rsidRPr="00000000">
        <w:rPr>
          <w:rFonts w:ascii="Roboto" w:cs="Roboto" w:eastAsia="Roboto" w:hAnsi="Roboto"/>
          <w:color w:val="303030"/>
          <w:sz w:val="18"/>
          <w:szCs w:val="18"/>
          <w:highlight w:val="white"/>
          <w:rtl w:val="0"/>
        </w:rPr>
        <w:t xml:space="preserve">(10), 1499–1507.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18"/>
            <w:szCs w:val="18"/>
            <w:highlight w:val="white"/>
            <w:u w:val="single"/>
            <w:rtl w:val="0"/>
          </w:rPr>
          <w:t xml:space="preserve">https://doi.org/10.1101/gr.191098.115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Roboto" w:cs="Roboto" w:eastAsia="Roboto" w:hAnsi="Roboto"/>
          <w:strike w:val="1"/>
          <w:color w:val="3030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Roboto" w:cs="Roboto" w:eastAsia="Roboto" w:hAnsi="Roboto"/>
          <w:color w:val="222222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Roboto" w:cs="Roboto" w:eastAsia="Roboto" w:hAnsi="Roboto"/>
          <w:color w:val="30303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hyperlink r:id="rId1">
      <w:r w:rsidDel="00000000" w:rsidR="00000000" w:rsidRPr="00000000">
        <w:rPr>
          <w:color w:val="1155cc"/>
          <w:u w:val="single"/>
          <w:rtl w:val="0"/>
        </w:rPr>
        <w:t xml:space="preserve">ArgenTAG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i.org/10.1101/gr.191098.115" TargetMode="External"/><Relationship Id="rId12" Type="http://schemas.openxmlformats.org/officeDocument/2006/relationships/footer" Target="footer1.xml"/><Relationship Id="rId9" Type="http://schemas.openxmlformats.org/officeDocument/2006/relationships/hyperlink" Target="https://doi.org/10.1038/nrclinonc.2017.16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1136/bmj.m4087" TargetMode="External"/><Relationship Id="rId8" Type="http://schemas.openxmlformats.org/officeDocument/2006/relationships/hyperlink" Target="https://doi.org/10.1371/journal.pone.026413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argent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PbZvGQ6j+hqd6kPWKDUu84rRxw==">AMUW2mU21KkP7xl8ay6Q5VrMFc8Z+lUzoLyMmp705wJFgnieHoA88slBhh0mLYR48YVU0UNFUaasgE1wvj1FFDxlNPzy+kxWIWcsNmldQ7stUnsWhPVT6Fs=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2022-05-27T14:11:00Z</dcterms:created>
  <dc:creator>Melissa Parrillo</dc:creator>
</cp:coreProperties>
</file>